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678E" w:rsidP="0039678E" w:rsidRDefault="0039678E" w14:paraId="3747370A" w14:textId="77777777">
      <w:pPr>
        <w:spacing w:after="0" w:line="240" w:lineRule="auto"/>
        <w:jc w:val="right"/>
        <w:rPr>
          <w:rFonts w:ascii="Book Antiqua" w:hAnsi="Book Antiqua" w:eastAsia="Book Antiqua" w:cs="Book Antiqua"/>
          <w:b/>
          <w:sz w:val="24"/>
          <w:szCs w:val="24"/>
          <w:lang w:val="en-GB"/>
        </w:rPr>
      </w:pPr>
      <w:bookmarkStart w:name="_Hlk197516996" w:id="0"/>
    </w:p>
    <w:p w:rsidRPr="0039678E" w:rsidR="0039678E" w:rsidP="5AF2F31D" w:rsidRDefault="0039678E" w14:paraId="701BBBF0" w14:textId="4DF645EC">
      <w:pPr>
        <w:spacing w:after="0" w:line="240" w:lineRule="auto"/>
        <w:jc w:val="right"/>
        <w:rPr>
          <w:rFonts w:ascii="Book Antiqua" w:hAnsi="Book Antiqua" w:eastAsia="Book Antiqua" w:cs="Book Antiqua"/>
          <w:b w:val="1"/>
          <w:bCs w:val="1"/>
          <w:sz w:val="24"/>
          <w:szCs w:val="24"/>
          <w:lang w:val="en-GB"/>
        </w:rPr>
      </w:pPr>
      <w:r w:rsidRPr="176C4A32" w:rsidR="77E476D6">
        <w:rPr>
          <w:rFonts w:ascii="Book Antiqua" w:hAnsi="Book Antiqua" w:eastAsia="Book Antiqua" w:cs="Book Antiqua"/>
          <w:b w:val="1"/>
          <w:bCs w:val="1"/>
          <w:sz w:val="24"/>
          <w:szCs w:val="24"/>
          <w:lang w:val="en-GB"/>
        </w:rPr>
        <w:t>Estam</w:t>
      </w:r>
      <w:r w:rsidRPr="176C4A32" w:rsidR="0039678E">
        <w:rPr>
          <w:rFonts w:ascii="Book Antiqua" w:hAnsi="Book Antiqua" w:eastAsia="Book Antiqua" w:cs="Book Antiqua"/>
          <w:b w:val="1"/>
          <w:bCs w:val="1"/>
          <w:sz w:val="24"/>
          <w:szCs w:val="24"/>
          <w:lang w:val="en-GB"/>
        </w:rPr>
        <w:t>bul</w:t>
      </w:r>
      <w:r w:rsidRPr="176C4A32" w:rsidR="0039678E">
        <w:rPr>
          <w:rFonts w:ascii="Book Antiqua" w:hAnsi="Book Antiqua" w:eastAsia="Book Antiqua" w:cs="Book Antiqua"/>
          <w:b w:val="1"/>
          <w:bCs w:val="1"/>
          <w:sz w:val="24"/>
          <w:szCs w:val="24"/>
          <w:lang w:val="en-GB"/>
        </w:rPr>
        <w:t>,</w:t>
      </w:r>
      <w:r w:rsidRPr="176C4A32" w:rsidR="00426965">
        <w:rPr>
          <w:rFonts w:ascii="Book Antiqua" w:hAnsi="Book Antiqua" w:eastAsia="Book Antiqua" w:cs="Book Antiqua"/>
          <w:b w:val="1"/>
          <w:bCs w:val="1"/>
          <w:sz w:val="24"/>
          <w:szCs w:val="24"/>
          <w:lang w:val="en-GB"/>
        </w:rPr>
        <w:t xml:space="preserve"> </w:t>
      </w:r>
      <w:r w:rsidRPr="176C4A32" w:rsidR="427D52DB">
        <w:rPr>
          <w:rFonts w:ascii="Book Antiqua" w:hAnsi="Book Antiqua" w:eastAsia="Book Antiqua" w:cs="Book Antiqua"/>
          <w:b w:val="1"/>
          <w:bCs w:val="1"/>
          <w:sz w:val="24"/>
          <w:szCs w:val="24"/>
          <w:lang w:val="en-GB"/>
        </w:rPr>
        <w:t>13</w:t>
      </w:r>
      <w:r w:rsidRPr="176C4A32" w:rsidR="00D045C2">
        <w:rPr>
          <w:rFonts w:ascii="Book Antiqua" w:hAnsi="Book Antiqua" w:eastAsia="Book Antiqua" w:cs="Book Antiqua"/>
          <w:b w:val="1"/>
          <w:bCs w:val="1"/>
          <w:sz w:val="24"/>
          <w:szCs w:val="24"/>
          <w:lang w:val="en-GB"/>
        </w:rPr>
        <w:t xml:space="preserve"> </w:t>
      </w:r>
      <w:r w:rsidRPr="176C4A32" w:rsidR="3321F46F">
        <w:rPr>
          <w:rFonts w:ascii="Book Antiqua" w:hAnsi="Book Antiqua" w:eastAsia="Book Antiqua" w:cs="Book Antiqua"/>
          <w:b w:val="1"/>
          <w:bCs w:val="1"/>
          <w:sz w:val="24"/>
          <w:szCs w:val="24"/>
          <w:lang w:val="en-GB"/>
        </w:rPr>
        <w:t xml:space="preserve">de </w:t>
      </w:r>
      <w:r w:rsidRPr="176C4A32" w:rsidR="00426965">
        <w:rPr>
          <w:rFonts w:ascii="Book Antiqua" w:hAnsi="Book Antiqua" w:eastAsia="Book Antiqua" w:cs="Book Antiqua"/>
          <w:b w:val="1"/>
          <w:bCs w:val="1"/>
          <w:sz w:val="24"/>
          <w:szCs w:val="24"/>
          <w:lang w:val="en-GB"/>
        </w:rPr>
        <w:t>May</w:t>
      </w:r>
      <w:r w:rsidRPr="176C4A32" w:rsidR="61DFADA5">
        <w:rPr>
          <w:rFonts w:ascii="Book Antiqua" w:hAnsi="Book Antiqua" w:eastAsia="Book Antiqua" w:cs="Book Antiqua"/>
          <w:b w:val="1"/>
          <w:bCs w:val="1"/>
          <w:sz w:val="24"/>
          <w:szCs w:val="24"/>
          <w:lang w:val="en-GB"/>
        </w:rPr>
        <w:t>o</w:t>
      </w:r>
      <w:r w:rsidRPr="176C4A32" w:rsidR="00426965">
        <w:rPr>
          <w:rFonts w:ascii="Book Antiqua" w:hAnsi="Book Antiqua" w:eastAsia="Book Antiqua" w:cs="Book Antiqua"/>
          <w:b w:val="1"/>
          <w:bCs w:val="1"/>
          <w:sz w:val="24"/>
          <w:szCs w:val="24"/>
          <w:lang w:val="en-GB"/>
        </w:rPr>
        <w:t>,</w:t>
      </w:r>
      <w:r w:rsidRPr="176C4A32" w:rsidR="00706079">
        <w:rPr>
          <w:rFonts w:ascii="Book Antiqua" w:hAnsi="Book Antiqua" w:eastAsia="Book Antiqua" w:cs="Book Antiqua"/>
          <w:b w:val="1"/>
          <w:bCs w:val="1"/>
          <w:sz w:val="24"/>
          <w:szCs w:val="24"/>
          <w:lang w:val="en-GB"/>
        </w:rPr>
        <w:t xml:space="preserve"> </w:t>
      </w:r>
      <w:r w:rsidRPr="176C4A32" w:rsidR="0039678E">
        <w:rPr>
          <w:rFonts w:ascii="Book Antiqua" w:hAnsi="Book Antiqua" w:eastAsia="Book Antiqua" w:cs="Book Antiqua"/>
          <w:b w:val="1"/>
          <w:bCs w:val="1"/>
          <w:sz w:val="24"/>
          <w:szCs w:val="24"/>
          <w:lang w:val="en-GB"/>
        </w:rPr>
        <w:t>202</w:t>
      </w:r>
      <w:r w:rsidRPr="176C4A32" w:rsidR="00706079">
        <w:rPr>
          <w:rFonts w:ascii="Book Antiqua" w:hAnsi="Book Antiqua" w:eastAsia="Book Antiqua" w:cs="Book Antiqua"/>
          <w:b w:val="1"/>
          <w:bCs w:val="1"/>
          <w:sz w:val="24"/>
          <w:szCs w:val="24"/>
          <w:lang w:val="en-GB"/>
        </w:rPr>
        <w:t>5</w:t>
      </w:r>
    </w:p>
    <w:p w:rsidR="0039678E" w:rsidP="0039678E" w:rsidRDefault="0039678E" w14:paraId="7D3134BE" w14:textId="77777777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:rsidR="176C4A32" w:rsidP="0B63616C" w:rsidRDefault="176C4A32" w14:paraId="11D48FBC" w14:textId="325D5857">
      <w:pPr>
        <w:spacing w:line="276" w:lineRule="auto"/>
        <w:ind/>
        <w:jc w:val="center"/>
        <w:rPr>
          <w:rFonts w:ascii="Book Antiqua" w:hAnsi="Book Antiqua"/>
          <w:b w:val="1"/>
          <w:bCs w:val="1"/>
          <w:sz w:val="28"/>
          <w:szCs w:val="28"/>
          <w:lang w:val="es-ES"/>
        </w:rPr>
      </w:pPr>
      <w:r w:rsidRPr="0B63616C" w:rsidR="452A7F37">
        <w:rPr>
          <w:rFonts w:ascii="Book Antiqua" w:hAnsi="Book Antiqua"/>
          <w:b w:val="1"/>
          <w:bCs w:val="1"/>
          <w:sz w:val="28"/>
          <w:szCs w:val="28"/>
          <w:lang w:val="es-ES"/>
        </w:rPr>
        <w:t>Turkish</w:t>
      </w:r>
      <w:r w:rsidRPr="0B63616C" w:rsidR="452A7F37">
        <w:rPr>
          <w:rFonts w:ascii="Book Antiqua" w:hAnsi="Book Antiqua"/>
          <w:b w:val="1"/>
          <w:bCs w:val="1"/>
          <w:sz w:val="28"/>
          <w:szCs w:val="28"/>
          <w:lang w:val="es-ES"/>
        </w:rPr>
        <w:t xml:space="preserve"> Airlines </w:t>
      </w:r>
      <w:r w:rsidRPr="0B63616C" w:rsidR="452A7F37">
        <w:rPr>
          <w:rFonts w:ascii="Book Antiqua" w:hAnsi="Book Antiqua"/>
          <w:b w:val="1"/>
          <w:bCs w:val="1"/>
          <w:sz w:val="28"/>
          <w:szCs w:val="28"/>
          <w:lang w:val="es-ES"/>
        </w:rPr>
        <w:t>anuncia</w:t>
      </w:r>
      <w:r w:rsidRPr="0B63616C" w:rsidR="452A7F37">
        <w:rPr>
          <w:rFonts w:ascii="Book Antiqua" w:hAnsi="Book Antiqua"/>
          <w:b w:val="1"/>
          <w:bCs w:val="1"/>
          <w:sz w:val="28"/>
          <w:szCs w:val="28"/>
          <w:lang w:val="es-ES"/>
        </w:rPr>
        <w:t xml:space="preserve"> </w:t>
      </w:r>
      <w:r w:rsidRPr="0B63616C" w:rsidR="452A7F37">
        <w:rPr>
          <w:rFonts w:ascii="Book Antiqua" w:hAnsi="Book Antiqua"/>
          <w:b w:val="1"/>
          <w:bCs w:val="1"/>
          <w:sz w:val="28"/>
          <w:szCs w:val="28"/>
          <w:lang w:val="es-ES"/>
        </w:rPr>
        <w:t>el</w:t>
      </w:r>
      <w:r w:rsidRPr="0B63616C" w:rsidR="452A7F37">
        <w:rPr>
          <w:rFonts w:ascii="Book Antiqua" w:hAnsi="Book Antiqua"/>
          <w:b w:val="1"/>
          <w:bCs w:val="1"/>
          <w:sz w:val="28"/>
          <w:szCs w:val="28"/>
          <w:lang w:val="es-ES"/>
        </w:rPr>
        <w:t xml:space="preserve"> primer </w:t>
      </w:r>
      <w:r w:rsidRPr="0B63616C" w:rsidR="452A7F37">
        <w:rPr>
          <w:rFonts w:ascii="Book Antiqua" w:hAnsi="Book Antiqua"/>
          <w:b w:val="1"/>
          <w:bCs w:val="1"/>
          <w:sz w:val="28"/>
          <w:szCs w:val="28"/>
          <w:lang w:val="es-ES"/>
        </w:rPr>
        <w:t>uso</w:t>
      </w:r>
      <w:r w:rsidRPr="0B63616C" w:rsidR="452A7F37">
        <w:rPr>
          <w:rFonts w:ascii="Book Antiqua" w:hAnsi="Book Antiqua"/>
          <w:b w:val="1"/>
          <w:bCs w:val="1"/>
          <w:sz w:val="28"/>
          <w:szCs w:val="28"/>
          <w:lang w:val="es-ES"/>
        </w:rPr>
        <w:t xml:space="preserve"> del </w:t>
      </w:r>
      <w:r w:rsidRPr="0B63616C" w:rsidR="452A7F37">
        <w:rPr>
          <w:rFonts w:ascii="Book Antiqua" w:hAnsi="Book Antiqua"/>
          <w:b w:val="1"/>
          <w:bCs w:val="1"/>
          <w:sz w:val="28"/>
          <w:szCs w:val="28"/>
          <w:lang w:val="es-ES"/>
        </w:rPr>
        <w:t>producto</w:t>
      </w:r>
      <w:r w:rsidRPr="0B63616C" w:rsidR="452A7F37">
        <w:rPr>
          <w:rFonts w:ascii="Book Antiqua" w:hAnsi="Book Antiqua"/>
          <w:b w:val="1"/>
          <w:bCs w:val="1"/>
          <w:sz w:val="28"/>
          <w:szCs w:val="28"/>
          <w:lang w:val="es-ES"/>
        </w:rPr>
        <w:t xml:space="preserve"> SAAFI (</w:t>
      </w:r>
      <w:r w:rsidRPr="0B63616C" w:rsidR="452A7F37">
        <w:rPr>
          <w:rFonts w:ascii="Book Antiqua" w:hAnsi="Book Antiqua"/>
          <w:b w:val="1"/>
          <w:bCs w:val="1"/>
          <w:sz w:val="28"/>
          <w:szCs w:val="28"/>
          <w:lang w:val="es-ES"/>
        </w:rPr>
        <w:t>Sompo</w:t>
      </w:r>
      <w:r w:rsidRPr="0B63616C" w:rsidR="452A7F37">
        <w:rPr>
          <w:rFonts w:ascii="Book Antiqua" w:hAnsi="Book Antiqua"/>
          <w:b w:val="1"/>
          <w:bCs w:val="1"/>
          <w:sz w:val="28"/>
          <w:szCs w:val="28"/>
          <w:lang w:val="es-ES"/>
        </w:rPr>
        <w:t xml:space="preserve"> AXIS </w:t>
      </w:r>
      <w:r w:rsidRPr="0B63616C" w:rsidR="452A7F37">
        <w:rPr>
          <w:rFonts w:ascii="Book Antiqua" w:hAnsi="Book Antiqua"/>
          <w:b w:val="1"/>
          <w:bCs w:val="1"/>
          <w:sz w:val="28"/>
          <w:szCs w:val="28"/>
          <w:lang w:val="es-ES"/>
        </w:rPr>
        <w:t>Aviation</w:t>
      </w:r>
      <w:r w:rsidRPr="0B63616C" w:rsidR="452A7F37">
        <w:rPr>
          <w:rFonts w:ascii="Book Antiqua" w:hAnsi="Book Antiqua"/>
          <w:b w:val="1"/>
          <w:bCs w:val="1"/>
          <w:sz w:val="28"/>
          <w:szCs w:val="28"/>
          <w:lang w:val="es-ES"/>
        </w:rPr>
        <w:t xml:space="preserve"> </w:t>
      </w:r>
      <w:r w:rsidRPr="0B63616C" w:rsidR="452A7F37">
        <w:rPr>
          <w:rFonts w:ascii="Book Antiqua" w:hAnsi="Book Antiqua"/>
          <w:b w:val="1"/>
          <w:bCs w:val="1"/>
          <w:sz w:val="28"/>
          <w:szCs w:val="28"/>
          <w:lang w:val="es-ES"/>
        </w:rPr>
        <w:t>Finance</w:t>
      </w:r>
      <w:r w:rsidRPr="0B63616C" w:rsidR="452A7F37">
        <w:rPr>
          <w:rFonts w:ascii="Book Antiqua" w:hAnsi="Book Antiqua"/>
          <w:b w:val="1"/>
          <w:bCs w:val="1"/>
          <w:sz w:val="28"/>
          <w:szCs w:val="28"/>
          <w:lang w:val="es-ES"/>
        </w:rPr>
        <w:t xml:space="preserve"> </w:t>
      </w:r>
      <w:r w:rsidRPr="0B63616C" w:rsidR="452A7F37">
        <w:rPr>
          <w:rFonts w:ascii="Book Antiqua" w:hAnsi="Book Antiqua"/>
          <w:b w:val="1"/>
          <w:bCs w:val="1"/>
          <w:sz w:val="28"/>
          <w:szCs w:val="28"/>
          <w:lang w:val="es-ES"/>
        </w:rPr>
        <w:t>Insurance</w:t>
      </w:r>
      <w:r w:rsidRPr="0B63616C" w:rsidR="452A7F37">
        <w:rPr>
          <w:rFonts w:ascii="Book Antiqua" w:hAnsi="Book Antiqua"/>
          <w:b w:val="1"/>
          <w:bCs w:val="1"/>
          <w:sz w:val="28"/>
          <w:szCs w:val="28"/>
          <w:lang w:val="es-ES"/>
        </w:rPr>
        <w:t xml:space="preserve">) para la </w:t>
      </w:r>
      <w:r w:rsidRPr="0B63616C" w:rsidR="452A7F37">
        <w:rPr>
          <w:rFonts w:ascii="Book Antiqua" w:hAnsi="Book Antiqua"/>
          <w:b w:val="1"/>
          <w:bCs w:val="1"/>
          <w:sz w:val="28"/>
          <w:szCs w:val="28"/>
          <w:lang w:val="es-ES"/>
        </w:rPr>
        <w:t>entrega</w:t>
      </w:r>
      <w:r w:rsidRPr="0B63616C" w:rsidR="452A7F37">
        <w:rPr>
          <w:rFonts w:ascii="Book Antiqua" w:hAnsi="Book Antiqua"/>
          <w:b w:val="1"/>
          <w:bCs w:val="1"/>
          <w:sz w:val="28"/>
          <w:szCs w:val="28"/>
          <w:lang w:val="es-ES"/>
        </w:rPr>
        <w:t xml:space="preserve"> de </w:t>
      </w:r>
      <w:r w:rsidRPr="0B63616C" w:rsidR="452A7F37">
        <w:rPr>
          <w:rFonts w:ascii="Book Antiqua" w:hAnsi="Book Antiqua"/>
          <w:b w:val="1"/>
          <w:bCs w:val="1"/>
          <w:sz w:val="28"/>
          <w:szCs w:val="28"/>
          <w:lang w:val="es-ES"/>
        </w:rPr>
        <w:t>nuevos</w:t>
      </w:r>
      <w:r w:rsidRPr="0B63616C" w:rsidR="452A7F37">
        <w:rPr>
          <w:rFonts w:ascii="Book Antiqua" w:hAnsi="Book Antiqua"/>
          <w:b w:val="1"/>
          <w:bCs w:val="1"/>
          <w:sz w:val="28"/>
          <w:szCs w:val="28"/>
          <w:lang w:val="es-ES"/>
        </w:rPr>
        <w:t xml:space="preserve"> </w:t>
      </w:r>
      <w:r w:rsidRPr="0B63616C" w:rsidR="452A7F37">
        <w:rPr>
          <w:rFonts w:ascii="Book Antiqua" w:hAnsi="Book Antiqua"/>
          <w:b w:val="1"/>
          <w:bCs w:val="1"/>
          <w:sz w:val="28"/>
          <w:szCs w:val="28"/>
          <w:lang w:val="es-ES"/>
        </w:rPr>
        <w:t>aviones</w:t>
      </w:r>
    </w:p>
    <w:p w:rsidR="696E3A86" w:rsidP="176C4A32" w:rsidRDefault="696E3A86" w14:paraId="73F8AA5D" w14:textId="66E40BEE">
      <w:pPr>
        <w:pStyle w:val="Normal"/>
        <w:spacing w:line="276" w:lineRule="auto"/>
        <w:ind w:firstLine="720"/>
        <w:jc w:val="both"/>
      </w:pP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Turkish Airlines,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una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de las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principales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aerolíneas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del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mundo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, ha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otorgado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mandato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para la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primera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estructura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de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financiación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que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utiliza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el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seguro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de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impago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de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aviación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(ANPI) de Sompo AXIS Aviation Finance Insurance (SAAFI). Esta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transacción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,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sellada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en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una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ceremonia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de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firma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en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Tokio,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Japón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,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marca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un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hito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importante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en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el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seguro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de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financiación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de la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aviación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,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ya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que es la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primera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vez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que SAAFI ha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sido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objeto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de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mandato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tras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su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lanzamiento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a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principios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de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este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año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.</w:t>
      </w:r>
    </w:p>
    <w:p w:rsidR="696E3A86" w:rsidP="176C4A32" w:rsidRDefault="696E3A86" w14:paraId="363271B9" w14:textId="1FC87D7D">
      <w:pPr>
        <w:pStyle w:val="Normal"/>
        <w:spacing w:line="276" w:lineRule="auto"/>
        <w:ind w:firstLine="720"/>
        <w:jc w:val="both"/>
      </w:pP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Según los términos del mandato, JP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Lease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aportará capital y Sumitomo Mitsui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Banking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Corporation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(SMBC) proporcionará la deuda a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Turkish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Airlines para la entrega de un avión A350-900 y un A321-271NX (ambos previstos para 2026). El préstamo de SMBC está respaldado al 100% con una póliza ANPI proporcionada por las aseguradoras SAAFI,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Sompo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y AXIS. Este uso del producto SAAFI ANPI en conexión con una estructura japonesa de arrendamiento operativo con opción de compra (JOLCO) ha permitido a </w:t>
      </w:r>
      <w:r w:rsidRPr="176C4A32" w:rsidR="696E3A86">
        <w:rPr>
          <w:rFonts w:ascii="Book Antiqua" w:hAnsi="Book Antiqua"/>
          <w:sz w:val="24"/>
          <w:szCs w:val="24"/>
          <w:lang w:val="es-ES"/>
        </w:rPr>
        <w:t>Turkish</w:t>
      </w:r>
      <w:r w:rsidRPr="176C4A32" w:rsidR="696E3A86">
        <w:rPr>
          <w:rFonts w:ascii="Book Antiqua" w:hAnsi="Book Antiqua"/>
          <w:sz w:val="24"/>
          <w:szCs w:val="24"/>
          <w:lang w:val="es-ES"/>
        </w:rPr>
        <w:t xml:space="preserve"> Airlines reducir significativamente su coste total de financiación. La póliza fue intermediada por Willis, una empresa de WTW (NASDAQ: WTW).</w:t>
      </w:r>
    </w:p>
    <w:p w:rsidR="4AF32679" w:rsidP="176C4A32" w:rsidRDefault="4AF32679" w14:paraId="5534D73D" w14:textId="18FDA5E8">
      <w:pPr>
        <w:spacing w:line="276" w:lineRule="auto"/>
        <w:ind w:firstLine="720"/>
        <w:jc w:val="both"/>
        <w:rPr>
          <w:rFonts w:ascii="Book Antiqua" w:hAnsi="Book Antiqua"/>
          <w:b w:val="1"/>
          <w:bCs w:val="1"/>
          <w:sz w:val="24"/>
          <w:szCs w:val="24"/>
          <w:lang w:val="es-ES"/>
        </w:rPr>
      </w:pPr>
      <w:r w:rsidRPr="176C4A32" w:rsidR="4AF32679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«Nos complace ser el cliente de lanzamiento de “SAAFI” con el apoyo de nuestras valiosas aseguradoras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  <w:lang w:val="es-ES"/>
        </w:rPr>
        <w:t>Sompo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y AXIS, el corredor de seguros Willis, nuestros socios comerciales a largo plazo SMBC y JP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  <w:lang w:val="es-ES"/>
        </w:rPr>
        <w:t>Lease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. Como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  <w:lang w:val="es-ES"/>
        </w:rPr>
        <w:t>Turkish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Airlines, estamos comprometidos a participar en el desarrollo de soluciones innovadoras que apoyen nuestras estrategias de crecimiento y renovación de flota. Cn modelos de financiación como SAAFI, no sólo mejoramos nuestra flexibilidad y resistencia financieras, sino que también reforzamos nuestro liderazgo en el sector",</w:t>
      </w:r>
      <w:r w:rsidRPr="176C4A32" w:rsidR="4AF32679">
        <w:rPr>
          <w:rFonts w:ascii="Book Antiqua" w:hAnsi="Book Antiqua"/>
          <w:sz w:val="24"/>
          <w:szCs w:val="24"/>
          <w:lang w:val="es-ES"/>
        </w:rPr>
        <w:t xml:space="preserve"> declaró el </w:t>
      </w:r>
      <w:r w:rsidRPr="176C4A32" w:rsidR="4AF32679">
        <w:rPr>
          <w:rFonts w:ascii="Book Antiqua" w:hAnsi="Book Antiqua"/>
          <w:b w:val="1"/>
          <w:bCs w:val="1"/>
          <w:sz w:val="24"/>
          <w:szCs w:val="24"/>
          <w:lang w:val="es-ES"/>
        </w:rPr>
        <w:t xml:space="preserve">Profesor Murat </w:t>
      </w:r>
      <w:r w:rsidRPr="176C4A32" w:rsidR="4AF32679">
        <w:rPr>
          <w:rFonts w:ascii="Book Antiqua" w:hAnsi="Book Antiqua"/>
          <w:b w:val="1"/>
          <w:bCs w:val="1"/>
          <w:sz w:val="24"/>
          <w:szCs w:val="24"/>
          <w:lang w:val="es-ES"/>
        </w:rPr>
        <w:t>Şeker</w:t>
      </w:r>
      <w:r w:rsidRPr="176C4A32" w:rsidR="4AF32679">
        <w:rPr>
          <w:rFonts w:ascii="Book Antiqua" w:hAnsi="Book Antiqua"/>
          <w:b w:val="1"/>
          <w:bCs w:val="1"/>
          <w:sz w:val="24"/>
          <w:szCs w:val="24"/>
          <w:lang w:val="es-ES"/>
        </w:rPr>
        <w:t xml:space="preserve">, </w:t>
      </w:r>
      <w:r w:rsidRPr="176C4A32" w:rsidR="4AF32679">
        <w:rPr>
          <w:rFonts w:ascii="Book Antiqua" w:hAnsi="Book Antiqua"/>
          <w:b w:val="1"/>
          <w:bCs w:val="1"/>
          <w:sz w:val="24"/>
          <w:szCs w:val="24"/>
          <w:lang w:val="es-ES"/>
        </w:rPr>
        <w:t>Director</w:t>
      </w:r>
      <w:r w:rsidRPr="176C4A32" w:rsidR="4AF32679">
        <w:rPr>
          <w:rFonts w:ascii="Book Antiqua" w:hAnsi="Book Antiqua"/>
          <w:b w:val="1"/>
          <w:bCs w:val="1"/>
          <w:sz w:val="24"/>
          <w:szCs w:val="24"/>
          <w:lang w:val="es-ES"/>
        </w:rPr>
        <w:t xml:space="preserve"> Financiero de </w:t>
      </w:r>
      <w:r w:rsidRPr="176C4A32" w:rsidR="4AF32679">
        <w:rPr>
          <w:rFonts w:ascii="Book Antiqua" w:hAnsi="Book Antiqua"/>
          <w:b w:val="1"/>
          <w:bCs w:val="1"/>
          <w:sz w:val="24"/>
          <w:szCs w:val="24"/>
          <w:lang w:val="es-ES"/>
        </w:rPr>
        <w:t>Turkish</w:t>
      </w:r>
      <w:r w:rsidRPr="176C4A32" w:rsidR="4AF32679">
        <w:rPr>
          <w:rFonts w:ascii="Book Antiqua" w:hAnsi="Book Antiqua"/>
          <w:b w:val="1"/>
          <w:bCs w:val="1"/>
          <w:sz w:val="24"/>
          <w:szCs w:val="24"/>
          <w:lang w:val="es-ES"/>
        </w:rPr>
        <w:t xml:space="preserve"> Airlines y miembro del Consejo de Administración y del Comité Ejecutivo.</w:t>
      </w:r>
    </w:p>
    <w:p w:rsidR="4AF32679" w:rsidP="176C4A32" w:rsidRDefault="4AF32679" w14:paraId="43882213" w14:textId="70A32A80">
      <w:pPr>
        <w:pStyle w:val="Normal"/>
        <w:spacing w:line="276" w:lineRule="auto"/>
        <w:ind w:firstLine="720"/>
        <w:jc w:val="both"/>
        <w:rPr>
          <w:rFonts w:ascii="Book Antiqua" w:hAnsi="Book Antiqua"/>
          <w:i w:val="1"/>
          <w:iCs w:val="1"/>
          <w:sz w:val="24"/>
          <w:szCs w:val="24"/>
        </w:rPr>
      </w:pPr>
      <w:r w:rsidRPr="176C4A32" w:rsidR="4AF32679">
        <w:rPr>
          <w:rFonts w:ascii="Book Antiqua" w:hAnsi="Book Antiqua"/>
          <w:sz w:val="24"/>
          <w:szCs w:val="24"/>
        </w:rPr>
        <w:t xml:space="preserve">Tim Gaul, </w:t>
      </w:r>
      <w:r w:rsidRPr="176C4A32" w:rsidR="4AF32679">
        <w:rPr>
          <w:rFonts w:ascii="Book Antiqua" w:hAnsi="Book Antiqua"/>
          <w:sz w:val="24"/>
          <w:szCs w:val="24"/>
        </w:rPr>
        <w:t>Suscriptor</w:t>
      </w:r>
      <w:r w:rsidRPr="176C4A32" w:rsidR="4AF32679">
        <w:rPr>
          <w:rFonts w:ascii="Book Antiqua" w:hAnsi="Book Antiqua"/>
          <w:sz w:val="24"/>
          <w:szCs w:val="24"/>
        </w:rPr>
        <w:t xml:space="preserve"> de </w:t>
      </w:r>
      <w:r w:rsidRPr="176C4A32" w:rsidR="4AF32679">
        <w:rPr>
          <w:rFonts w:ascii="Book Antiqua" w:hAnsi="Book Antiqua"/>
          <w:sz w:val="24"/>
          <w:szCs w:val="24"/>
        </w:rPr>
        <w:t>Riesgos</w:t>
      </w:r>
      <w:r w:rsidRPr="176C4A32" w:rsidR="4AF32679">
        <w:rPr>
          <w:rFonts w:ascii="Book Antiqua" w:hAnsi="Book Antiqua"/>
          <w:sz w:val="24"/>
          <w:szCs w:val="24"/>
        </w:rPr>
        <w:t xml:space="preserve"> Financieros y </w:t>
      </w:r>
      <w:r w:rsidRPr="176C4A32" w:rsidR="4AF32679">
        <w:rPr>
          <w:rFonts w:ascii="Book Antiqua" w:hAnsi="Book Antiqua"/>
          <w:sz w:val="24"/>
          <w:szCs w:val="24"/>
        </w:rPr>
        <w:t>Políticos</w:t>
      </w:r>
      <w:r w:rsidRPr="176C4A32" w:rsidR="4AF32679">
        <w:rPr>
          <w:rFonts w:ascii="Book Antiqua" w:hAnsi="Book Antiqua"/>
          <w:sz w:val="24"/>
          <w:szCs w:val="24"/>
        </w:rPr>
        <w:t xml:space="preserve"> de Sompo, ha </w:t>
      </w:r>
      <w:r w:rsidRPr="176C4A32" w:rsidR="4AF32679">
        <w:rPr>
          <w:rFonts w:ascii="Book Antiqua" w:hAnsi="Book Antiqua"/>
          <w:sz w:val="24"/>
          <w:szCs w:val="24"/>
        </w:rPr>
        <w:t>declarado</w:t>
      </w:r>
      <w:r w:rsidRPr="176C4A32" w:rsidR="4AF32679">
        <w:rPr>
          <w:rFonts w:ascii="Book Antiqua" w:hAnsi="Book Antiqua"/>
          <w:sz w:val="24"/>
          <w:szCs w:val="24"/>
        </w:rPr>
        <w:t xml:space="preserve">: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"Es un honor para Sompo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haber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recibido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el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mandato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de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nuestro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socio a largo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plazo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Turkish Airlines para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lanzar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el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producto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SAAFI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en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su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financiación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inaugural de dos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aviones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Airbus. Sompo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cuenta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con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una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amplia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experiencia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en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el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mercado de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seguros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de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impago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de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aviación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,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habiendo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participado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en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la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financiación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de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más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de 120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aeronaves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en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todo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el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mundo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en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los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últimos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ocho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años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.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Creemos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que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nuestra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asociación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con AXIS a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través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de SAAFI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será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una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adición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bienvenida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a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nuestro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actual conjunto de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productos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de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financiación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de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aviación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disponibles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para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nuestros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clientes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,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siendo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Turkish Airlines la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primera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de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muchas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que se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beneficiarán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de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nuestra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capacidad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 xml:space="preserve"> 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adicional</w:t>
      </w:r>
      <w:r w:rsidRPr="176C4A32" w:rsidR="4AF32679">
        <w:rPr>
          <w:rFonts w:ascii="Book Antiqua" w:hAnsi="Book Antiqua"/>
          <w:i w:val="1"/>
          <w:iCs w:val="1"/>
          <w:sz w:val="24"/>
          <w:szCs w:val="24"/>
        </w:rPr>
        <w:t>."</w:t>
      </w:r>
    </w:p>
    <w:p w:rsidR="176C4A32" w:rsidP="176C4A32" w:rsidRDefault="176C4A32" w14:paraId="40E2D3C2" w14:textId="1F073449">
      <w:pPr>
        <w:spacing w:line="276" w:lineRule="auto"/>
        <w:ind w:firstLine="720"/>
        <w:jc w:val="both"/>
        <w:rPr>
          <w:rFonts w:ascii="Book Antiqua" w:hAnsi="Book Antiqua"/>
          <w:sz w:val="24"/>
          <w:szCs w:val="24"/>
        </w:rPr>
      </w:pPr>
    </w:p>
    <w:p w:rsidR="27CDAF42" w:rsidP="176C4A32" w:rsidRDefault="27CDAF42" w14:paraId="21784909" w14:textId="5AB76F12">
      <w:pPr>
        <w:spacing w:line="276" w:lineRule="auto"/>
        <w:ind w:firstLine="720"/>
        <w:jc w:val="both"/>
        <w:rPr>
          <w:rFonts w:ascii="Book Antiqua" w:hAnsi="Book Antiqua"/>
          <w:i w:val="1"/>
          <w:iCs w:val="1"/>
          <w:sz w:val="24"/>
          <w:szCs w:val="24"/>
          <w:lang w:val="es-ES"/>
        </w:rPr>
      </w:pPr>
      <w:r w:rsidRPr="176C4A32" w:rsidR="27CDAF42">
        <w:rPr>
          <w:rFonts w:ascii="Book Antiqua" w:hAnsi="Book Antiqua"/>
          <w:b w:val="1"/>
          <w:bCs w:val="1"/>
          <w:sz w:val="24"/>
          <w:szCs w:val="24"/>
          <w:lang w:val="es-ES"/>
        </w:rPr>
        <w:t xml:space="preserve">Richard </w:t>
      </w:r>
      <w:r w:rsidRPr="176C4A32" w:rsidR="27CDAF42">
        <w:rPr>
          <w:rFonts w:ascii="Book Antiqua" w:hAnsi="Book Antiqua"/>
          <w:b w:val="1"/>
          <w:bCs w:val="1"/>
          <w:sz w:val="24"/>
          <w:szCs w:val="24"/>
          <w:lang w:val="es-ES"/>
        </w:rPr>
        <w:t>Jelf</w:t>
      </w:r>
      <w:r w:rsidRPr="176C4A32" w:rsidR="27CDAF42">
        <w:rPr>
          <w:rFonts w:ascii="Book Antiqua" w:hAnsi="Book Antiqua"/>
          <w:b w:val="1"/>
          <w:bCs w:val="1"/>
          <w:sz w:val="24"/>
          <w:szCs w:val="24"/>
          <w:lang w:val="es-ES"/>
        </w:rPr>
        <w:t xml:space="preserve">, </w:t>
      </w:r>
      <w:r w:rsidRPr="176C4A32" w:rsidR="27CDAF42">
        <w:rPr>
          <w:rFonts w:ascii="Book Antiqua" w:hAnsi="Book Antiqua"/>
          <w:b w:val="1"/>
          <w:bCs w:val="1"/>
          <w:sz w:val="24"/>
          <w:szCs w:val="24"/>
          <w:lang w:val="es-ES"/>
        </w:rPr>
        <w:t>Suscriptor</w:t>
      </w:r>
      <w:r w:rsidRPr="176C4A32" w:rsidR="27CDAF42">
        <w:rPr>
          <w:rFonts w:ascii="Book Antiqua" w:hAnsi="Book Antiqua"/>
          <w:b w:val="1"/>
          <w:bCs w:val="1"/>
          <w:sz w:val="24"/>
          <w:szCs w:val="24"/>
          <w:lang w:val="es-ES"/>
        </w:rPr>
        <w:t xml:space="preserve"> Senior de AXIS</w:t>
      </w:r>
      <w:r w:rsidRPr="176C4A32" w:rsidR="27CDAF42">
        <w:rPr>
          <w:rFonts w:ascii="Book Antiqua" w:hAnsi="Book Antiqua"/>
          <w:sz w:val="24"/>
          <w:szCs w:val="24"/>
          <w:lang w:val="es-ES"/>
        </w:rPr>
        <w:t xml:space="preserve">, </w:t>
      </w:r>
      <w:r w:rsidRPr="176C4A32" w:rsidR="27CDAF42">
        <w:rPr>
          <w:rFonts w:ascii="Book Antiqua" w:hAnsi="Book Antiqua"/>
          <w:sz w:val="24"/>
          <w:szCs w:val="24"/>
          <w:lang w:val="es-ES"/>
        </w:rPr>
        <w:t>dijo</w:t>
      </w:r>
      <w:r w:rsidRPr="176C4A32" w:rsidR="27CDAF42">
        <w:rPr>
          <w:rFonts w:ascii="Book Antiqua" w:hAnsi="Book Antiqua"/>
          <w:sz w:val="24"/>
          <w:szCs w:val="24"/>
          <w:lang w:val="es-ES"/>
        </w:rPr>
        <w:t xml:space="preserve">: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"AXIS se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enorgullece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de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introducir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el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producto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SAAFI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en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el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mercado de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financiación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de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aeronaves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junto con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Sompo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y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está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encantada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de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tener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a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Turkish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Airlines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como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nuestro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primer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cliente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.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Sobre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la base de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nuestra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amplia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experiencia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en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el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sector de la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aviación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, SAAFI es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una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importante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adición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a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nuestra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oferta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de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productos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en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el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ámbito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del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seguro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de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impago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de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aeronaves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.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A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través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de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esta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iniciativa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, AXIS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puede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asociarse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con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clientes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nuevos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y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existentes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,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desempeñando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un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papel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importante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tanto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en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su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crecimiento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como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en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el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del sector de las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aerolíneas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."</w:t>
      </w:r>
    </w:p>
    <w:p w:rsidR="27CDAF42" w:rsidP="176C4A32" w:rsidRDefault="27CDAF42" w14:paraId="267E8F00" w14:textId="7D9CBC83">
      <w:pPr>
        <w:pStyle w:val="Normal"/>
        <w:spacing w:line="276" w:lineRule="auto"/>
        <w:ind w:firstLine="720"/>
        <w:jc w:val="both"/>
        <w:rPr>
          <w:rFonts w:ascii="Book Antiqua" w:hAnsi="Book Antiqua"/>
          <w:i w:val="1"/>
          <w:iCs w:val="1"/>
          <w:sz w:val="24"/>
          <w:szCs w:val="24"/>
          <w:lang w:val="es-ES"/>
        </w:rPr>
      </w:pPr>
      <w:r w:rsidRPr="176C4A32" w:rsidR="27CDAF42">
        <w:rPr>
          <w:rFonts w:ascii="Book Antiqua" w:hAnsi="Book Antiqua"/>
          <w:b w:val="1"/>
          <w:bCs w:val="1"/>
          <w:sz w:val="24"/>
          <w:szCs w:val="24"/>
          <w:lang w:val="es-ES"/>
        </w:rPr>
        <w:t xml:space="preserve">Stuart Ashworth, </w:t>
      </w:r>
      <w:r w:rsidRPr="176C4A32" w:rsidR="27CDAF42">
        <w:rPr>
          <w:rFonts w:ascii="Book Antiqua" w:hAnsi="Book Antiqua"/>
          <w:b w:val="1"/>
          <w:bCs w:val="1"/>
          <w:sz w:val="24"/>
          <w:szCs w:val="24"/>
          <w:lang w:val="es-ES"/>
        </w:rPr>
        <w:t>Director General</w:t>
      </w:r>
      <w:r w:rsidRPr="176C4A32" w:rsidR="27CDAF42">
        <w:rPr>
          <w:rFonts w:ascii="Book Antiqua" w:hAnsi="Book Antiqua"/>
          <w:b w:val="1"/>
          <w:bCs w:val="1"/>
          <w:sz w:val="24"/>
          <w:szCs w:val="24"/>
          <w:lang w:val="es-ES"/>
        </w:rPr>
        <w:t xml:space="preserve"> de Soluciones Financieras de Willis</w:t>
      </w:r>
      <w:r w:rsidRPr="176C4A32" w:rsidR="27CDAF42">
        <w:rPr>
          <w:rFonts w:ascii="Book Antiqua" w:hAnsi="Book Antiqua"/>
          <w:sz w:val="24"/>
          <w:szCs w:val="24"/>
          <w:lang w:val="es-ES"/>
        </w:rPr>
        <w:t xml:space="preserve">, una empresa de WTW, añadió: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"Estamos encantados de poder ayudar a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Turkish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Airlines y SMBC con esta financiación. Este es también nuestro primer mandato SAAFI de 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>Turkish</w:t>
      </w:r>
      <w:r w:rsidRPr="176C4A32" w:rsidR="27CDAF42">
        <w:rPr>
          <w:rFonts w:ascii="Book Antiqua" w:hAnsi="Book Antiqua"/>
          <w:i w:val="1"/>
          <w:iCs w:val="1"/>
          <w:sz w:val="24"/>
          <w:szCs w:val="24"/>
          <w:lang w:val="es-ES"/>
        </w:rPr>
        <w:t xml:space="preserve"> Airlines; una solución de financiación innovadora que apoya a una aerolínea innovadora, dinámica y con visión de futuro."</w:t>
      </w:r>
    </w:p>
    <w:p w:rsidR="176C4A32" w:rsidP="176C4A32" w:rsidRDefault="176C4A32" w14:paraId="5A2ED3C1" w14:textId="454186A5">
      <w:pPr>
        <w:pStyle w:val="Normal"/>
        <w:spacing w:line="276" w:lineRule="auto"/>
        <w:ind w:firstLine="720"/>
        <w:jc w:val="both"/>
        <w:rPr>
          <w:rFonts w:ascii="Book Antiqua" w:hAnsi="Book Antiqua"/>
          <w:i w:val="1"/>
          <w:iCs w:val="1"/>
          <w:sz w:val="24"/>
          <w:szCs w:val="24"/>
          <w:lang w:val="es-ES"/>
        </w:rPr>
      </w:pPr>
    </w:p>
    <w:p w:rsidRPr="00BE46CE" w:rsidR="008F3B20" w:rsidP="008F3B20" w:rsidRDefault="008F3B20" w14:paraId="1D796778" w14:textId="77777777">
      <w:pPr>
        <w:spacing w:after="0" w:line="276" w:lineRule="auto"/>
        <w:jc w:val="both"/>
        <w:rPr>
          <w:rFonts w:ascii="Book Antiqua" w:hAnsi="Book Antiqua" w:eastAsia="Calibri" w:cs="Times New Roman"/>
          <w:b/>
          <w:bCs/>
          <w:sz w:val="26"/>
          <w:szCs w:val="26"/>
          <w:lang w:eastAsia="tr-TR"/>
        </w:rPr>
      </w:pPr>
      <w:r w:rsidRPr="00BE46CE">
        <w:rPr>
          <w:rFonts w:ascii="Book Antiqua" w:hAnsi="Book Antiqua" w:eastAsia="Calibri" w:cs="Times New Roman"/>
          <w:b/>
          <w:bCs/>
          <w:sz w:val="26"/>
          <w:szCs w:val="26"/>
          <w:lang w:eastAsia="tr-TR"/>
        </w:rPr>
        <w:t>Turkish Airlines, Inc.</w:t>
      </w:r>
    </w:p>
    <w:p w:rsidR="008F3B20" w:rsidP="008F3B20" w:rsidRDefault="008F3B20" w14:paraId="55832BE7" w14:textId="510930F3">
      <w:pPr>
        <w:spacing w:after="0" w:line="276" w:lineRule="auto"/>
        <w:jc w:val="both"/>
        <w:rPr>
          <w:rFonts w:ascii="Book Antiqua" w:hAnsi="Book Antiqua" w:eastAsia="Calibri" w:cs="Times New Roman"/>
          <w:b/>
          <w:bCs/>
          <w:sz w:val="26"/>
          <w:szCs w:val="26"/>
          <w:lang w:eastAsia="tr-TR"/>
        </w:rPr>
      </w:pPr>
      <w:r w:rsidRPr="00BE46CE">
        <w:rPr>
          <w:rFonts w:ascii="Book Antiqua" w:hAnsi="Book Antiqua" w:eastAsia="Calibri" w:cs="Times New Roman"/>
          <w:b/>
          <w:bCs/>
          <w:sz w:val="26"/>
          <w:szCs w:val="26"/>
          <w:lang w:eastAsia="tr-TR"/>
        </w:rPr>
        <w:t>Media Relations</w:t>
      </w:r>
    </w:p>
    <w:p w:rsidR="00CC7944" w:rsidP="008F3B20" w:rsidRDefault="00CC7944" w14:paraId="68A7ACEC" w14:textId="06471CB9">
      <w:pPr>
        <w:spacing w:after="0" w:line="276" w:lineRule="auto"/>
        <w:jc w:val="both"/>
        <w:rPr>
          <w:rFonts w:ascii="Book Antiqua" w:hAnsi="Book Antiqua" w:eastAsia="Calibri" w:cs="Times New Roman"/>
          <w:b/>
          <w:bCs/>
          <w:sz w:val="26"/>
          <w:szCs w:val="26"/>
          <w:lang w:eastAsia="tr-TR"/>
        </w:rPr>
      </w:pPr>
    </w:p>
    <w:bookmarkEnd w:id="0"/>
    <w:p w:rsidR="0B5374BD" w:rsidP="777DB038" w:rsidRDefault="0B5374BD" w14:paraId="73670FF6" w14:textId="7FDA75C4">
      <w:pPr>
        <w:spacing w:after="240" w:afterLines="100" w:line="276" w:lineRule="auto"/>
        <w:jc w:val="both"/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</w:rPr>
      </w:pPr>
      <w:r w:rsidRPr="777DB038" w:rsidR="0B5374BD">
        <w:rPr>
          <w:rFonts w:ascii="Book Antiqua" w:hAnsi="Book Antiqua" w:eastAsia="Times New Roman" w:cs="Times New Roman"/>
          <w:b w:val="1"/>
          <w:bCs w:val="1"/>
          <w:color w:val="000000" w:themeColor="text1" w:themeTint="FF" w:themeShade="FF"/>
          <w:sz w:val="18"/>
          <w:szCs w:val="18"/>
          <w:u w:val="single"/>
        </w:rPr>
        <w:t>Acerca</w:t>
      </w:r>
      <w:r w:rsidRPr="777DB038" w:rsidR="0B5374BD">
        <w:rPr>
          <w:rFonts w:ascii="Book Antiqua" w:hAnsi="Book Antiqua" w:eastAsia="Times New Roman" w:cs="Times New Roman"/>
          <w:b w:val="1"/>
          <w:bCs w:val="1"/>
          <w:color w:val="000000" w:themeColor="text1" w:themeTint="FF" w:themeShade="FF"/>
          <w:sz w:val="18"/>
          <w:szCs w:val="18"/>
          <w:u w:val="single"/>
        </w:rPr>
        <w:t xml:space="preserve"> de Turkish Airlines:</w:t>
      </w:r>
      <w:r>
        <w:br/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Fundada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en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1933 con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una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flota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de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cinco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aviones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,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Turkish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Airlines,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miembro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de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Star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Alliance,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cuenta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con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una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flota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de 477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aviones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(de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pasajeros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y carga) que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vuelan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a 353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destinos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en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todo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el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mundo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como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300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internacionales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y 53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nacionales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en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131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países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.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Puede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encontrar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más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información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sobre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Turkish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Airlines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en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su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página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web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oficial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www.turkishairlines.com o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en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sus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cuentas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en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las redes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sociales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Facebook, X, YouTube, LinkedIn e Instagram.</w:t>
      </w:r>
    </w:p>
    <w:p w:rsidR="0B5374BD" w:rsidP="777DB038" w:rsidRDefault="0B5374BD" w14:paraId="4FD1D966" w14:textId="70BB5601">
      <w:pPr>
        <w:pStyle w:val="Normal"/>
        <w:spacing w:after="240" w:afterLines="100" w:line="276" w:lineRule="auto"/>
        <w:jc w:val="both"/>
      </w:pPr>
      <w:r w:rsidRPr="777DB038" w:rsidR="0B5374BD">
        <w:rPr>
          <w:rFonts w:ascii="Book Antiqua" w:hAnsi="Book Antiqua" w:eastAsia="Times New Roman" w:cs="Times New Roman"/>
          <w:b w:val="1"/>
          <w:bCs w:val="1"/>
          <w:color w:val="000000" w:themeColor="text1" w:themeTint="FF" w:themeShade="FF"/>
          <w:sz w:val="18"/>
          <w:szCs w:val="18"/>
          <w:u w:val="single"/>
        </w:rPr>
        <w:t>Acerca</w:t>
      </w:r>
      <w:r w:rsidRPr="777DB038" w:rsidR="0B5374BD">
        <w:rPr>
          <w:rFonts w:ascii="Book Antiqua" w:hAnsi="Book Antiqua" w:eastAsia="Times New Roman" w:cs="Times New Roman"/>
          <w:b w:val="1"/>
          <w:bCs w:val="1"/>
          <w:color w:val="000000" w:themeColor="text1" w:themeTint="FF" w:themeShade="FF"/>
          <w:sz w:val="18"/>
          <w:szCs w:val="18"/>
          <w:u w:val="single"/>
        </w:rPr>
        <w:t xml:space="preserve"> de SAAFI:</w:t>
      </w:r>
      <w:r>
        <w:br/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La póliza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omp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o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AXIS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A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viatio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n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F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inanc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e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I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nsuranc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e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(«SAAFI»), protege a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los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prestamistas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o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inversores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de las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pérdidas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derivadas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de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los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posibles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impagos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asociados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a la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financiación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de la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aviación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. Los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aseguradores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,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omp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o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(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calificado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A+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por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S&amp;P); y AXIS l (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calificado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A+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por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S&amp;P)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emiten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una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póliza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de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seguro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, que protege a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los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prestamistas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contra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los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riesgos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de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impago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que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conlleva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la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financiación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de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líneas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aéreas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.   La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póliza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de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seguro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reduce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el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riesgo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para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los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prestamistas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, lo que a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su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vez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puede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reducir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el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coste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global de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financiación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para la 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aerolínea</w:t>
      </w:r>
      <w:r w:rsidRPr="777DB038" w:rsidR="0B5374BD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.</w:t>
      </w:r>
    </w:p>
    <w:p w:rsidR="7EF84D80" w:rsidP="777DB038" w:rsidRDefault="7EF84D80" w14:paraId="75A329D3" w14:textId="486C13D0">
      <w:pPr>
        <w:pStyle w:val="Normal"/>
        <w:spacing w:after="240" w:afterLines="100" w:line="276" w:lineRule="auto"/>
        <w:jc w:val="both"/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</w:pPr>
      <w:r w:rsidRPr="777DB038" w:rsidR="7EF84D80">
        <w:rPr>
          <w:rFonts w:ascii="Book Antiqua" w:hAnsi="Book Antiqua" w:eastAsia="Times New Roman" w:cs="Times New Roman"/>
          <w:b w:val="1"/>
          <w:bCs w:val="1"/>
          <w:color w:val="000000" w:themeColor="text1" w:themeTint="FF" w:themeShade="FF"/>
          <w:sz w:val="18"/>
          <w:szCs w:val="18"/>
          <w:u w:val="single"/>
          <w:lang w:val="es-ES"/>
        </w:rPr>
        <w:t xml:space="preserve">Acerca de </w:t>
      </w:r>
      <w:r w:rsidRPr="777DB038" w:rsidR="7EF84D80">
        <w:rPr>
          <w:rFonts w:ascii="Book Antiqua" w:hAnsi="Book Antiqua" w:eastAsia="Times New Roman" w:cs="Times New Roman"/>
          <w:b w:val="1"/>
          <w:bCs w:val="1"/>
          <w:color w:val="000000" w:themeColor="text1" w:themeTint="FF" w:themeShade="FF"/>
          <w:sz w:val="18"/>
          <w:szCs w:val="18"/>
          <w:u w:val="single"/>
          <w:lang w:val="es-ES"/>
        </w:rPr>
        <w:t>Sompo</w:t>
      </w:r>
      <w:r w:rsidRPr="777DB038" w:rsidR="7EF84D80">
        <w:rPr>
          <w:rFonts w:ascii="Book Antiqua" w:hAnsi="Book Antiqua" w:eastAsia="Times New Roman" w:cs="Times New Roman"/>
          <w:b w:val="1"/>
          <w:bCs w:val="1"/>
          <w:color w:val="000000" w:themeColor="text1" w:themeTint="FF" w:themeShade="FF"/>
          <w:sz w:val="18"/>
          <w:szCs w:val="18"/>
          <w:u w:val="single"/>
          <w:lang w:val="es-ES"/>
        </w:rPr>
        <w:t>:</w:t>
      </w:r>
      <w:r>
        <w:br/>
      </w:r>
      <w:r w:rsidRPr="777DB038" w:rsidR="7EF84D80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Somos </w:t>
      </w:r>
      <w:r w:rsidRPr="777DB038" w:rsidR="7EF84D80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Sompo</w:t>
      </w:r>
      <w:r w:rsidRPr="777DB038" w:rsidR="7EF84D80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, un proveedor global de seguros y reaseguros comerciales y de consumo de propiedad, accidentes y especialidades. Basándose en los 135 años de innovación de nuestra empresa matriz, </w:t>
      </w:r>
      <w:r w:rsidRPr="777DB038" w:rsidR="7EF84D80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Sompo</w:t>
      </w:r>
      <w:r w:rsidRPr="777DB038" w:rsidR="7EF84D80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Holdings, Inc., </w:t>
      </w:r>
      <w:r w:rsidRPr="777DB038" w:rsidR="7EF84D80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Sompo</w:t>
      </w:r>
      <w:r w:rsidRPr="777DB038" w:rsidR="7EF84D80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cuenta con aproximadamente 9</w:t>
      </w:r>
      <w:r w:rsidRPr="777DB038" w:rsidR="1A81D69E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,</w:t>
      </w:r>
      <w:r w:rsidRPr="777DB038" w:rsidR="7EF84D80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500 empleados en todo el mundo que utilizan su profundo conocimiento y experiencia para ayudar a simplificar y resolver sus complejos desafíos. Porque cuando eliges </w:t>
      </w:r>
      <w:r w:rsidRPr="777DB038" w:rsidR="7EF84D80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Sompo</w:t>
      </w:r>
      <w:r w:rsidRPr="777DB038" w:rsidR="7EF84D80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, eliges La Facilidad de la Experiencia. ™</w:t>
      </w:r>
    </w:p>
    <w:p w:rsidR="7EF84D80" w:rsidP="777DB038" w:rsidRDefault="7EF84D80" w14:paraId="249F9442" w14:textId="4C86374B">
      <w:pPr>
        <w:pStyle w:val="Normal"/>
        <w:spacing w:after="240" w:afterLines="100" w:line="276" w:lineRule="auto"/>
        <w:jc w:val="both"/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</w:pPr>
      <w:r w:rsidRPr="777DB038" w:rsidR="7EF84D80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Calificación financiera: A.M. </w:t>
      </w:r>
      <w:r w:rsidRPr="777DB038" w:rsidR="7EF84D80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Best</w:t>
      </w:r>
      <w:r w:rsidRPr="777DB038" w:rsidR="7EF84D80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(Superior) S&amp;P (Fuerte) A+.  «</w:t>
      </w:r>
      <w:r w:rsidRPr="777DB038" w:rsidR="7EF84D80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Sompo</w:t>
      </w:r>
      <w:r w:rsidRPr="777DB038" w:rsidR="7EF84D80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» se refiere a la marca bajo la cual </w:t>
      </w:r>
      <w:r w:rsidRPr="777DB038" w:rsidR="7EF84D80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Sompo</w:t>
      </w:r>
      <w:r w:rsidRPr="777DB038" w:rsidR="7EF84D80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International Holdings Ltd., una sociedad de cartera con sede en Bermudas, junto con sus filiales consolidadas, opera sus negocios globales de (re)seguros de propiedad y accidentes. </w:t>
      </w:r>
      <w:r w:rsidRPr="777DB038" w:rsidR="7EF84D80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Sompo</w:t>
      </w:r>
      <w:r w:rsidRPr="777DB038" w:rsidR="7EF84D80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International Holdings Ltd. es una filial indirecta al 100% de </w:t>
      </w:r>
      <w:r w:rsidRPr="777DB038" w:rsidR="7EF84D80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Sompo</w:t>
      </w:r>
      <w:r w:rsidRPr="777DB038" w:rsidR="7EF84D80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Holdings, Inc. uno de los principales grupos de seguros de daños del mundo. Las acciones de </w:t>
      </w:r>
      <w:r w:rsidRPr="777DB038" w:rsidR="7EF84D80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Sompo</w:t>
      </w:r>
      <w:r w:rsidRPr="777DB038" w:rsidR="7EF84D80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Holdings, Inc. cotizan en la Bolsa de Tokio. Para más información, síganos en LinkedIn o visite sompo-intl.com.</w:t>
      </w:r>
      <w:r>
        <w:br/>
      </w:r>
      <w:r>
        <w:br/>
      </w:r>
      <w:r w:rsidRPr="777DB038" w:rsidR="422B9C68">
        <w:rPr>
          <w:rFonts w:ascii="Book Antiqua" w:hAnsi="Book Antiqua" w:eastAsia="Times New Roman" w:cs="Times New Roman"/>
          <w:b w:val="1"/>
          <w:bCs w:val="1"/>
          <w:color w:val="000000" w:themeColor="text1" w:themeTint="FF" w:themeShade="FF"/>
          <w:sz w:val="18"/>
          <w:szCs w:val="18"/>
          <w:u w:val="single"/>
          <w:lang w:val="es-ES"/>
        </w:rPr>
        <w:t>Acerca de AXIS Capital:</w:t>
      </w:r>
      <w:r>
        <w:br/>
      </w:r>
      <w:r w:rsidRPr="777DB038" w:rsidR="422B9C68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AXIS Capital, a través de sus filiales operativas, es un suscriptor especializado global y proveedor de soluciones de seguros y reaseguros. Sus fondos propios ascienden a 5</w:t>
      </w:r>
      <w:r w:rsidRPr="777DB038" w:rsidR="5A16CF41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,</w:t>
      </w:r>
      <w:r w:rsidRPr="777DB038" w:rsidR="422B9C68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900 millones de dólares a 31 de marzo de 2025 y cuenta con sedes en Bermudas, Estados Unidos, Europa, Singapur y Canadá. Sus filiales operativas tienen asignada una calificación de solidez financiera de «A+» («Fuerte») por Standard &amp; </w:t>
      </w:r>
      <w:r w:rsidRPr="777DB038" w:rsidR="422B9C68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Poor's</w:t>
      </w:r>
      <w:r w:rsidRPr="777DB038" w:rsidR="422B9C68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 y de “A” («Excelente») por A.M. </w:t>
      </w:r>
      <w:r w:rsidRPr="777DB038" w:rsidR="422B9C68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Best</w:t>
      </w:r>
      <w:r w:rsidRPr="777DB038" w:rsidR="422B9C68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 xml:space="preserve">. Para más información sobre AXIS Capital, visite nuestro sitio web en </w:t>
      </w:r>
      <w:hyperlink r:id="Rcda06d4c274b4c44">
        <w:r w:rsidRPr="777DB038" w:rsidR="422B9C68">
          <w:rPr>
            <w:rStyle w:val="Hyperlink"/>
            <w:rFonts w:ascii="Book Antiqua" w:hAnsi="Book Antiqua" w:eastAsia="Times New Roman" w:cs="Times New Roman"/>
            <w:sz w:val="18"/>
            <w:szCs w:val="18"/>
            <w:lang w:val="es-ES"/>
          </w:rPr>
          <w:t>www.axiscapital.com</w:t>
        </w:r>
      </w:hyperlink>
      <w:r w:rsidRPr="777DB038" w:rsidR="422B9C68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.</w:t>
      </w:r>
    </w:p>
    <w:p w:rsidR="422B9C68" w:rsidP="777DB038" w:rsidRDefault="422B9C68" w14:paraId="2B343BA1" w14:textId="51D976DA">
      <w:pPr>
        <w:pStyle w:val="Normal"/>
        <w:spacing w:after="240" w:afterLines="100" w:line="276" w:lineRule="auto"/>
        <w:jc w:val="both"/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</w:pPr>
      <w:r w:rsidRPr="777DB038" w:rsidR="422B9C68">
        <w:rPr>
          <w:rFonts w:ascii="Book Antiqua" w:hAnsi="Book Antiqua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18"/>
          <w:szCs w:val="18"/>
          <w:u w:val="single"/>
          <w:lang w:val="es-ES"/>
        </w:rPr>
        <w:t>Acerca de WTW:</w:t>
      </w:r>
      <w:r>
        <w:br/>
      </w:r>
      <w:r w:rsidRPr="777DB038" w:rsidR="422B9C68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En WTW (NASDAQ: WTW), proporcionamos soluciones basadas en datos y conocimientos en las áreas de personas, riesgo y capital. Aprovechando la visión global y la experiencia local de nuestros colegas en 140 países y mercados, ayudamos a las organizaciones a afinar su estrategia, mejorar la resiliencia organizativa, motivar a su fuerza de trabajo y maximizar el rendimiento.</w:t>
      </w:r>
      <w:r>
        <w:br/>
      </w:r>
      <w:r w:rsidRPr="777DB038" w:rsidR="422B9C68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Trabajando codo con codo con nuestros clientes, descubrimos oportunidades para el éxito sostenible y proporcionamos la perspectiva que le mueve.</w:t>
      </w:r>
      <w:r>
        <w:br/>
      </w:r>
      <w:r w:rsidRPr="777DB038" w:rsidR="422B9C68"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  <w:t>Más información en wtwco.com</w:t>
      </w:r>
    </w:p>
    <w:p w:rsidR="777DB038" w:rsidP="777DB038" w:rsidRDefault="777DB038" w14:paraId="0D737177" w14:textId="4A8C3C80">
      <w:pPr>
        <w:pStyle w:val="Normal"/>
        <w:spacing w:after="240" w:afterLines="100" w:line="276" w:lineRule="auto"/>
        <w:jc w:val="both"/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</w:pPr>
    </w:p>
    <w:p w:rsidR="777DB038" w:rsidP="777DB038" w:rsidRDefault="777DB038" w14:paraId="2A606166" w14:textId="471E8B13">
      <w:pPr>
        <w:pStyle w:val="Normal"/>
        <w:spacing w:after="240" w:afterLines="100" w:line="276" w:lineRule="auto"/>
        <w:jc w:val="both"/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</w:pPr>
    </w:p>
    <w:p w:rsidR="777DB038" w:rsidP="777DB038" w:rsidRDefault="777DB038" w14:paraId="07BCA7DB" w14:textId="747D46D3">
      <w:pPr>
        <w:pStyle w:val="Normal"/>
        <w:spacing w:after="240" w:afterLines="100" w:line="276" w:lineRule="auto"/>
        <w:jc w:val="both"/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</w:pPr>
    </w:p>
    <w:p w:rsidR="777DB038" w:rsidP="777DB038" w:rsidRDefault="777DB038" w14:paraId="3C90AFB3" w14:textId="17F734BE">
      <w:pPr>
        <w:pStyle w:val="Normal"/>
        <w:spacing w:after="240" w:afterLines="100" w:line="276" w:lineRule="auto"/>
        <w:jc w:val="both"/>
        <w:rPr>
          <w:rFonts w:ascii="Book Antiqua" w:hAnsi="Book Antiqua" w:eastAsia="Times New Roman" w:cs="Times New Roman"/>
          <w:color w:val="000000" w:themeColor="text1" w:themeTint="FF" w:themeShade="FF"/>
          <w:sz w:val="18"/>
          <w:szCs w:val="18"/>
          <w:lang w:val="es-ES"/>
        </w:rPr>
      </w:pPr>
    </w:p>
    <w:p w:rsidR="00CC7944" w:rsidP="00CC7944" w:rsidRDefault="00CC7944" w14:paraId="316329FF" w14:textId="77777777">
      <w:pPr>
        <w:rPr>
          <w:kern w:val="2"/>
          <w14:ligatures w14:val="standardContextual"/>
        </w:rPr>
      </w:pPr>
    </w:p>
    <w:p w:rsidRPr="0039678E" w:rsidR="007E4C27" w:rsidP="00CC7944" w:rsidRDefault="007E4C27" w14:paraId="596B4DB7" w14:textId="77777777">
      <w:pPr>
        <w:jc w:val="both"/>
        <w:rPr>
          <w:rFonts w:ascii="Book Antiqua" w:hAnsi="Book Antiqua"/>
          <w:sz w:val="24"/>
          <w:szCs w:val="24"/>
          <w:lang w:val="en-GB"/>
        </w:rPr>
      </w:pPr>
    </w:p>
    <w:sectPr w:rsidRPr="0039678E" w:rsidR="007E4C27" w:rsidSect="00097C91">
      <w:head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5423" w:rsidP="0039678E" w:rsidRDefault="002E5423" w14:paraId="75A5371F" w14:textId="77777777">
      <w:pPr>
        <w:spacing w:after="0" w:line="240" w:lineRule="auto"/>
      </w:pPr>
      <w:r>
        <w:separator/>
      </w:r>
    </w:p>
  </w:endnote>
  <w:endnote w:type="continuationSeparator" w:id="0">
    <w:p w:rsidR="002E5423" w:rsidP="0039678E" w:rsidRDefault="002E5423" w14:paraId="70C8E20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5423" w:rsidP="0039678E" w:rsidRDefault="002E5423" w14:paraId="04BF6D63" w14:textId="77777777">
      <w:pPr>
        <w:spacing w:after="0" w:line="240" w:lineRule="auto"/>
      </w:pPr>
      <w:r>
        <w:separator/>
      </w:r>
    </w:p>
  </w:footnote>
  <w:footnote w:type="continuationSeparator" w:id="0">
    <w:p w:rsidR="002E5423" w:rsidP="0039678E" w:rsidRDefault="002E5423" w14:paraId="6C84ABD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39678E" w:rsidR="0039678E" w:rsidP="0039678E" w:rsidRDefault="0039678E" w14:paraId="35F99B15" w14:textId="0D298A51">
    <w:pPr>
      <w:pStyle w:val="Header"/>
    </w:pPr>
    <w:r>
      <w:rPr>
        <w:rFonts w:eastAsia="Calibri"/>
        <w:noProof/>
        <w:color w:val="000000"/>
      </w:rPr>
      <w:drawing>
        <wp:inline distT="0" distB="0" distL="0" distR="0" wp14:anchorId="0DABED71" wp14:editId="7D895BE6">
          <wp:extent cx="5731510" cy="464973"/>
          <wp:effectExtent l="0" t="0" r="2540" b="0"/>
          <wp:docPr id="4" name="image2.jpg" descr="Press Release Hea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ress Release Head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464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8E"/>
    <w:rsid w:val="00097C91"/>
    <w:rsid w:val="000C28D2"/>
    <w:rsid w:val="00101CF2"/>
    <w:rsid w:val="001708EA"/>
    <w:rsid w:val="001865A7"/>
    <w:rsid w:val="001B2130"/>
    <w:rsid w:val="00200EBA"/>
    <w:rsid w:val="002E5423"/>
    <w:rsid w:val="003257BB"/>
    <w:rsid w:val="0039678E"/>
    <w:rsid w:val="003D11DA"/>
    <w:rsid w:val="003F7FC5"/>
    <w:rsid w:val="00426965"/>
    <w:rsid w:val="004B30E6"/>
    <w:rsid w:val="004C18A1"/>
    <w:rsid w:val="004D2785"/>
    <w:rsid w:val="00551FF1"/>
    <w:rsid w:val="005B338A"/>
    <w:rsid w:val="00641D33"/>
    <w:rsid w:val="006956F8"/>
    <w:rsid w:val="00706079"/>
    <w:rsid w:val="007C4C19"/>
    <w:rsid w:val="007D334E"/>
    <w:rsid w:val="007E4C27"/>
    <w:rsid w:val="00824EA9"/>
    <w:rsid w:val="008359BB"/>
    <w:rsid w:val="0084181A"/>
    <w:rsid w:val="00864C9F"/>
    <w:rsid w:val="00883690"/>
    <w:rsid w:val="00891860"/>
    <w:rsid w:val="008B1D2C"/>
    <w:rsid w:val="008F3B20"/>
    <w:rsid w:val="0092044D"/>
    <w:rsid w:val="00994B9B"/>
    <w:rsid w:val="009A718D"/>
    <w:rsid w:val="009B7A4E"/>
    <w:rsid w:val="009F107A"/>
    <w:rsid w:val="00A01149"/>
    <w:rsid w:val="00A14687"/>
    <w:rsid w:val="00A93134"/>
    <w:rsid w:val="00AD0C1D"/>
    <w:rsid w:val="00B549AB"/>
    <w:rsid w:val="00B70A86"/>
    <w:rsid w:val="00B8547D"/>
    <w:rsid w:val="00B9636E"/>
    <w:rsid w:val="00BC14C2"/>
    <w:rsid w:val="00CC7944"/>
    <w:rsid w:val="00D045C2"/>
    <w:rsid w:val="00E73CE3"/>
    <w:rsid w:val="00F42244"/>
    <w:rsid w:val="00F42C2D"/>
    <w:rsid w:val="00F46FA9"/>
    <w:rsid w:val="00F5529A"/>
    <w:rsid w:val="03CA013B"/>
    <w:rsid w:val="0522CFE4"/>
    <w:rsid w:val="0853DD8F"/>
    <w:rsid w:val="0B5374BD"/>
    <w:rsid w:val="0B63616C"/>
    <w:rsid w:val="1191A7E3"/>
    <w:rsid w:val="1263F77C"/>
    <w:rsid w:val="176C4A32"/>
    <w:rsid w:val="1A81D69E"/>
    <w:rsid w:val="257788BA"/>
    <w:rsid w:val="2736C2D7"/>
    <w:rsid w:val="27CDAF42"/>
    <w:rsid w:val="28B75329"/>
    <w:rsid w:val="2ABD2F3A"/>
    <w:rsid w:val="3321F46F"/>
    <w:rsid w:val="422B9C68"/>
    <w:rsid w:val="427D52DB"/>
    <w:rsid w:val="452A7F37"/>
    <w:rsid w:val="457309A5"/>
    <w:rsid w:val="48AA7280"/>
    <w:rsid w:val="49FF5FB0"/>
    <w:rsid w:val="4AF32679"/>
    <w:rsid w:val="4B0E800C"/>
    <w:rsid w:val="5A16CF41"/>
    <w:rsid w:val="5AF2F31D"/>
    <w:rsid w:val="5B8025DC"/>
    <w:rsid w:val="5BABB689"/>
    <w:rsid w:val="5DA73007"/>
    <w:rsid w:val="61DFADA5"/>
    <w:rsid w:val="696E3A86"/>
    <w:rsid w:val="6B9C1671"/>
    <w:rsid w:val="6D14B866"/>
    <w:rsid w:val="6F0B9DEE"/>
    <w:rsid w:val="777DB038"/>
    <w:rsid w:val="7784CFA1"/>
    <w:rsid w:val="77E476D6"/>
    <w:rsid w:val="7DAC9A10"/>
    <w:rsid w:val="7EF84D80"/>
    <w:rsid w:val="7F399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F67664"/>
  <w15:chartTrackingRefBased/>
  <w15:docId w15:val="{EE1565A2-044C-4243-95AC-3FCF43EE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8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9678E"/>
  </w:style>
  <w:style w:type="paragraph" w:styleId="Footer">
    <w:name w:val="footer"/>
    <w:basedOn w:val="Normal"/>
    <w:link w:val="FooterChar"/>
    <w:uiPriority w:val="99"/>
    <w:unhideWhenUsed/>
    <w:rsid w:val="0039678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9678E"/>
  </w:style>
  <w:style w:type="character" w:styleId="Hyperlink">
    <w:name w:val="Hyperlink"/>
    <w:basedOn w:val="DefaultParagraphFont"/>
    <w:uiPriority w:val="99"/>
    <w:unhideWhenUsed/>
    <w:rsid w:val="004269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17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ntTable" Target="fontTable.xml" Id="rId15" /><Relationship Type="http://schemas.openxmlformats.org/officeDocument/2006/relationships/customXml" Target="../customXml/item3.xml" Id="rId19" /><Relationship Type="http://schemas.openxmlformats.org/officeDocument/2006/relationships/footnotes" Target="footnotes.xml" Id="rId4" /><Relationship Type="http://schemas.openxmlformats.org/officeDocument/2006/relationships/header" Target="header1.xml" Id="rId14" /><Relationship Type="http://schemas.openxmlformats.org/officeDocument/2006/relationships/hyperlink" Target="https://www.axiscapital.com" TargetMode="External" Id="Rcda06d4c274b4c4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C7393F-E784-4C38-9E33-F49FC9852DA0}"/>
</file>

<file path=customXml/itemProps2.xml><?xml version="1.0" encoding="utf-8"?>
<ds:datastoreItem xmlns:ds="http://schemas.openxmlformats.org/officeDocument/2006/customXml" ds:itemID="{2951069E-8B2D-43B3-8CCC-70FC4E3F68BA}"/>
</file>

<file path=customXml/itemProps3.xml><?xml version="1.0" encoding="utf-8"?>
<ds:datastoreItem xmlns:ds="http://schemas.openxmlformats.org/officeDocument/2006/customXml" ds:itemID="{D1E91B7C-EF01-413B-82E3-A78261E6E9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THY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SAFVAN OZCAN (Finans Bsk. (Genel Finansman Md.) - Uzman)</dc:creator>
  <keywords/>
  <dc:description/>
  <lastModifiedBy>Guest User</lastModifiedBy>
  <revision>7</revision>
  <dcterms:created xsi:type="dcterms:W3CDTF">2025-05-13T06:34:00.0000000Z</dcterms:created>
  <dcterms:modified xsi:type="dcterms:W3CDTF">2025-05-14T17:41:53.9293208Z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